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参考选题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1.保水护水的实践做法与相关建议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2.共同缔造提升基层治理水平的路径与相关建议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3.巩固和提升中国商用车之都的战略思考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4.十堰建设国家“两山”实践创新基地的政策建议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5.以武当山为突破口、建设世界文化旅游目的地城市的重点问题研究与建议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6.突破性发展新能源与智能网联汽车的相关建议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7.因地制宜发展新质生产力的重点问题研究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加快绿色低碳发展示范区建设有关问题研究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9.激活城市“二次生长”的建议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10.“双集中”的有益探索与有关建议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11．十堰-大湾区产业链供应链对接有关问题研究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12.十堰离岸科创中心建设有关问题研究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468C65DA"/>
    <w:rsid w:val="6F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256</Characters>
  <Lines>0</Lines>
  <Paragraphs>0</Paragraphs>
  <TotalTime>0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2024-08-16T03:48:00Z</dcterms:created>
  <dc:creator>admin</dc:creator>
  <cp:lastModifiedBy>心不在烟</cp:lastModifiedBy>
  <dcterms:modified xsi:type="dcterms:W3CDTF">2024-08-16T03:53:08Z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F72337E6917B4BE8835DF4511C5771FB_12</vt:lpwstr>
  </property>
</Properties>
</file>